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DA" w:rsidRPr="006E6C39" w:rsidP="009F21D6" w14:paraId="40926635" w14:textId="1CD31ED9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Projeto de Lei Nº 31/2026</w:t>
      </w:r>
    </w:p>
    <w:p w:rsidR="005105DA" w:rsidRPr="006E6C39" w:rsidP="009F21D6" w14:paraId="4B67E156" w14:textId="77777777">
      <w:pPr>
        <w:ind w:left="5670" w:hanging="3546"/>
        <w:jc w:val="both"/>
        <w:rPr>
          <w:rFonts w:cstheme="minorHAnsi"/>
          <w:b/>
          <w:sz w:val="28"/>
          <w:szCs w:val="32"/>
          <w:u w:val="single"/>
        </w:rPr>
      </w:pPr>
    </w:p>
    <w:p w:rsidR="003E3E67" w:rsidRPr="006E6C39" w:rsidP="009F21D6" w14:paraId="6B3C712A" w14:textId="77777777">
      <w:pPr>
        <w:jc w:val="both"/>
        <w:rPr>
          <w:rFonts w:cstheme="minorHAnsi"/>
          <w:sz w:val="28"/>
          <w:szCs w:val="32"/>
        </w:rPr>
      </w:pPr>
    </w:p>
    <w:p w:rsidR="006E6C39" w:rsidRPr="006E6C39" w:rsidP="009F21D6" w14:paraId="08CE38B2" w14:textId="77777777">
      <w:pPr>
        <w:ind w:right="425" w:firstLine="993"/>
        <w:jc w:val="right"/>
        <w:rPr>
          <w:rFonts w:ascii="Arial" w:hAnsi="Arial" w:cs="Arial"/>
          <w:b/>
          <w:bCs/>
        </w:rPr>
      </w:pPr>
      <w:r w:rsidRPr="006E6C39">
        <w:rPr>
          <w:rFonts w:ascii="Arial" w:hAnsi="Arial" w:cs="Arial"/>
          <w:b/>
          <w:bCs/>
        </w:rPr>
        <w:t>Institui o fornecimento de kit alimentação para pacientes e acompanhantes em atendimentos fora do Município de Alumínio e dá outras providências.</w:t>
      </w:r>
    </w:p>
    <w:p w:rsidR="004E341A" w:rsidRPr="006E6C39" w:rsidP="009F21D6" w14:paraId="6A61AF72" w14:textId="77777777">
      <w:pPr>
        <w:ind w:left="4820"/>
        <w:jc w:val="both"/>
        <w:rPr>
          <w:rFonts w:cstheme="minorHAnsi"/>
          <w:sz w:val="28"/>
          <w:szCs w:val="32"/>
        </w:rPr>
      </w:pPr>
    </w:p>
    <w:p w:rsidR="00F065C3" w:rsidRPr="006E6C39" w:rsidP="009F21D6" w14:paraId="40949DC1" w14:textId="77777777">
      <w:pPr>
        <w:tabs>
          <w:tab w:val="left" w:pos="795"/>
        </w:tabs>
        <w:spacing w:line="276" w:lineRule="auto"/>
        <w:jc w:val="both"/>
        <w:rPr>
          <w:rFonts w:cstheme="minorHAnsi"/>
          <w:sz w:val="32"/>
          <w:szCs w:val="32"/>
        </w:rPr>
      </w:pPr>
    </w:p>
    <w:p w:rsidR="00F065C3" w:rsidRPr="006E6C39" w:rsidP="009F21D6" w14:paraId="2074B9D3" w14:textId="77777777">
      <w:pPr>
        <w:tabs>
          <w:tab w:val="left" w:pos="795"/>
        </w:tabs>
        <w:ind w:left="851" w:hanging="425"/>
        <w:jc w:val="both"/>
        <w:rPr>
          <w:rFonts w:ascii="Arial" w:hAnsi="Arial" w:cs="Arial"/>
          <w:b/>
          <w:bCs/>
          <w:sz w:val="36"/>
          <w:szCs w:val="36"/>
          <w:vertAlign w:val="subscript"/>
        </w:rPr>
      </w:pPr>
      <w:r w:rsidRPr="006E6C39">
        <w:rPr>
          <w:rFonts w:ascii="Arial" w:hAnsi="Arial" w:cs="Arial"/>
          <w:b/>
          <w:bCs/>
          <w:sz w:val="36"/>
          <w:szCs w:val="36"/>
          <w:vertAlign w:val="subscript"/>
        </w:rPr>
        <w:t>A CÂMARA MUNICIPAL DE ALUMÍNIO APROVA:</w:t>
      </w:r>
    </w:p>
    <w:p w:rsidR="00F065C3" w:rsidRPr="006E6C39" w:rsidP="009F21D6" w14:paraId="39099CC8" w14:textId="77777777">
      <w:pPr>
        <w:tabs>
          <w:tab w:val="left" w:pos="795"/>
        </w:tabs>
        <w:jc w:val="both"/>
        <w:rPr>
          <w:rFonts w:cstheme="minorHAnsi"/>
          <w:sz w:val="36"/>
          <w:szCs w:val="36"/>
          <w:vertAlign w:val="subscript"/>
        </w:rPr>
      </w:pPr>
    </w:p>
    <w:p w:rsidR="00F065C3" w:rsidRPr="006E6C39" w:rsidP="009F21D6" w14:paraId="40D08949" w14:textId="77777777">
      <w:pPr>
        <w:tabs>
          <w:tab w:val="left" w:pos="426"/>
          <w:tab w:val="left" w:pos="709"/>
        </w:tabs>
        <w:ind w:left="426"/>
        <w:jc w:val="both"/>
        <w:rPr>
          <w:rFonts w:ascii="Arial" w:hAnsi="Arial" w:cs="Arial"/>
          <w:sz w:val="36"/>
          <w:szCs w:val="36"/>
          <w:vertAlign w:val="subscript"/>
        </w:rPr>
      </w:pPr>
      <w:r w:rsidRPr="006E6C39">
        <w:rPr>
          <w:rFonts w:ascii="Arial" w:hAnsi="Arial" w:cs="Arial"/>
          <w:b/>
          <w:bCs/>
          <w:sz w:val="36"/>
          <w:szCs w:val="36"/>
          <w:vertAlign w:val="subscript"/>
        </w:rPr>
        <w:t>Art. 1º</w:t>
      </w:r>
      <w:r w:rsidRPr="006E6C39">
        <w:rPr>
          <w:rFonts w:ascii="Arial" w:hAnsi="Arial" w:cs="Arial"/>
          <w:sz w:val="36"/>
          <w:szCs w:val="36"/>
          <w:vertAlign w:val="subscript"/>
        </w:rPr>
        <w:t xml:space="preserve"> Fica instituído o fornecimento de kit alimentação que será destinado exclusivamente aos pacientes e acompanhantes devidamente agendados em tratamento ou atendimentos da Diretoria Municipal de saúde realizados fora do território do Município de Alumínio.</w:t>
      </w:r>
    </w:p>
    <w:p w:rsidR="00F065C3" w:rsidRPr="006E6C39" w:rsidP="009F21D6" w14:paraId="1B2F8D30" w14:textId="77777777">
      <w:pPr>
        <w:tabs>
          <w:tab w:val="left" w:pos="795"/>
        </w:tabs>
        <w:jc w:val="both"/>
        <w:rPr>
          <w:rFonts w:ascii="Arial" w:hAnsi="Arial" w:cs="Arial"/>
          <w:sz w:val="36"/>
          <w:szCs w:val="36"/>
          <w:vertAlign w:val="subscript"/>
        </w:rPr>
      </w:pPr>
    </w:p>
    <w:p w:rsidR="00F065C3" w:rsidRPr="006E6C39" w:rsidP="009F21D6" w14:paraId="0A4831D9" w14:textId="77777777">
      <w:pPr>
        <w:tabs>
          <w:tab w:val="left" w:pos="426"/>
          <w:tab w:val="left" w:pos="709"/>
        </w:tabs>
        <w:ind w:left="426"/>
        <w:jc w:val="both"/>
        <w:rPr>
          <w:rFonts w:ascii="Arial" w:hAnsi="Arial" w:cs="Arial"/>
          <w:sz w:val="36"/>
          <w:szCs w:val="36"/>
          <w:vertAlign w:val="subscript"/>
        </w:rPr>
      </w:pPr>
      <w:r w:rsidRPr="006E6C39">
        <w:rPr>
          <w:rFonts w:ascii="Arial" w:hAnsi="Arial" w:cs="Arial"/>
          <w:b/>
          <w:bCs/>
          <w:sz w:val="36"/>
          <w:szCs w:val="36"/>
          <w:vertAlign w:val="subscript"/>
        </w:rPr>
        <w:t>Art. 2º</w:t>
      </w:r>
      <w:r w:rsidRPr="006E6C39">
        <w:rPr>
          <w:rFonts w:ascii="Arial" w:hAnsi="Arial" w:cs="Arial"/>
          <w:sz w:val="36"/>
          <w:szCs w:val="36"/>
          <w:vertAlign w:val="subscript"/>
        </w:rPr>
        <w:t xml:space="preserve"> Caberá ao Executivo regulamentar a forma de distribuição, composição e logística dos kits, respeitando as necessidades nutricionais de cada paciente e suas doenças.        </w:t>
      </w:r>
    </w:p>
    <w:p w:rsidR="00F065C3" w:rsidRPr="006E6C39" w:rsidP="009F21D6" w14:paraId="0EAD0948" w14:textId="77777777">
      <w:pPr>
        <w:tabs>
          <w:tab w:val="left" w:pos="795"/>
        </w:tabs>
        <w:jc w:val="both"/>
        <w:rPr>
          <w:rFonts w:ascii="Arial" w:hAnsi="Arial" w:cs="Arial"/>
          <w:sz w:val="36"/>
          <w:szCs w:val="36"/>
          <w:vertAlign w:val="subscript"/>
        </w:rPr>
      </w:pPr>
    </w:p>
    <w:p w:rsidR="00F065C3" w:rsidRPr="006E6C39" w:rsidP="009F21D6" w14:paraId="1F49D285" w14:textId="77777777">
      <w:pPr>
        <w:tabs>
          <w:tab w:val="left" w:pos="426"/>
          <w:tab w:val="left" w:pos="709"/>
        </w:tabs>
        <w:ind w:left="426"/>
        <w:jc w:val="both"/>
        <w:rPr>
          <w:rFonts w:ascii="Arial" w:hAnsi="Arial" w:cs="Arial"/>
          <w:sz w:val="36"/>
          <w:szCs w:val="36"/>
          <w:vertAlign w:val="subscript"/>
        </w:rPr>
      </w:pPr>
      <w:r w:rsidRPr="006E6C39">
        <w:rPr>
          <w:rFonts w:ascii="Arial" w:hAnsi="Arial" w:cs="Arial"/>
          <w:b/>
          <w:bCs/>
          <w:sz w:val="36"/>
          <w:szCs w:val="36"/>
          <w:vertAlign w:val="subscript"/>
        </w:rPr>
        <w:t>Art. 3º</w:t>
      </w:r>
      <w:r w:rsidRPr="006E6C39">
        <w:rPr>
          <w:rFonts w:ascii="Arial" w:hAnsi="Arial" w:cs="Arial"/>
          <w:sz w:val="36"/>
          <w:szCs w:val="36"/>
          <w:vertAlign w:val="subscript"/>
        </w:rPr>
        <w:t xml:space="preserve">  O kit alimentação deve ser composto por itens sólidos e líquidos de fácil consumo, sem necessidade de preparo, aquecimento ou refrigeração imediata.</w:t>
      </w:r>
    </w:p>
    <w:p w:rsidR="00F065C3" w:rsidRPr="006E6C39" w:rsidP="009F21D6" w14:paraId="6E1DF71B" w14:textId="77777777">
      <w:pPr>
        <w:tabs>
          <w:tab w:val="left" w:pos="426"/>
          <w:tab w:val="left" w:pos="709"/>
        </w:tabs>
        <w:ind w:left="426"/>
        <w:jc w:val="both"/>
        <w:rPr>
          <w:rFonts w:ascii="Arial" w:hAnsi="Arial" w:cs="Arial"/>
          <w:sz w:val="36"/>
          <w:szCs w:val="36"/>
          <w:vertAlign w:val="subscript"/>
        </w:rPr>
      </w:pPr>
    </w:p>
    <w:p w:rsidR="00F065C3" w:rsidRPr="006E6C39" w:rsidP="009F21D6" w14:paraId="0E9DA8E5" w14:textId="77777777">
      <w:pPr>
        <w:tabs>
          <w:tab w:val="left" w:pos="426"/>
          <w:tab w:val="left" w:pos="709"/>
        </w:tabs>
        <w:ind w:left="426"/>
        <w:jc w:val="both"/>
        <w:rPr>
          <w:rFonts w:ascii="Arial" w:hAnsi="Arial" w:cs="Arial"/>
          <w:sz w:val="36"/>
          <w:szCs w:val="36"/>
          <w:vertAlign w:val="subscript"/>
        </w:rPr>
      </w:pPr>
      <w:r w:rsidRPr="006E6C39">
        <w:rPr>
          <w:rFonts w:ascii="Arial" w:hAnsi="Arial" w:cs="Arial"/>
          <w:b/>
          <w:bCs/>
          <w:sz w:val="36"/>
          <w:szCs w:val="36"/>
          <w:vertAlign w:val="subscript"/>
        </w:rPr>
        <w:t>Art. 4º</w:t>
      </w:r>
      <w:r w:rsidRPr="006E6C39">
        <w:rPr>
          <w:rFonts w:ascii="Arial" w:hAnsi="Arial" w:cs="Arial"/>
          <w:sz w:val="36"/>
          <w:szCs w:val="36"/>
          <w:vertAlign w:val="subscript"/>
        </w:rPr>
        <w:t xml:space="preserve"> Esta Lei entra em vigor na data de sua publicação, revogadas as disposições em contrário.</w:t>
      </w:r>
    </w:p>
    <w:p w:rsidR="00F065C3" w:rsidP="009F21D6" w14:paraId="516503D3" w14:textId="77777777">
      <w:pPr>
        <w:tabs>
          <w:tab w:val="left" w:pos="795"/>
        </w:tabs>
        <w:jc w:val="both"/>
        <w:rPr>
          <w:rFonts w:cstheme="minorHAnsi"/>
          <w:sz w:val="36"/>
          <w:szCs w:val="36"/>
          <w:vertAlign w:val="subscript"/>
        </w:rPr>
      </w:pPr>
    </w:p>
    <w:p w:rsidR="006E6C39" w:rsidP="009F21D6" w14:paraId="2B509D0E" w14:textId="77777777">
      <w:pPr>
        <w:tabs>
          <w:tab w:val="left" w:pos="426"/>
          <w:tab w:val="left" w:pos="709"/>
        </w:tabs>
        <w:ind w:left="426"/>
        <w:jc w:val="both"/>
        <w:rPr>
          <w:rFonts w:ascii="Arial" w:hAnsi="Arial" w:cs="Arial"/>
          <w:sz w:val="36"/>
          <w:szCs w:val="36"/>
          <w:vertAlign w:val="subscript"/>
        </w:rPr>
      </w:pPr>
      <w:r w:rsidRPr="006E6C39">
        <w:rPr>
          <w:rFonts w:ascii="Arial" w:hAnsi="Arial" w:cs="Arial"/>
          <w:sz w:val="36"/>
          <w:szCs w:val="36"/>
          <w:vertAlign w:val="subscript"/>
        </w:rPr>
        <w:t>Sala de Sessões, “Plenário Vereador Orlando Silva”, 08 de abril de 2026.</w:t>
      </w:r>
    </w:p>
    <w:p w:rsidR="006E6C39" w:rsidP="009F21D6" w14:paraId="4EA5EF09" w14:textId="77777777">
      <w:pPr>
        <w:tabs>
          <w:tab w:val="left" w:pos="426"/>
          <w:tab w:val="left" w:pos="709"/>
        </w:tabs>
        <w:ind w:left="426"/>
        <w:jc w:val="both"/>
        <w:rPr>
          <w:rFonts w:ascii="Arial" w:hAnsi="Arial" w:cs="Arial"/>
          <w:sz w:val="36"/>
          <w:szCs w:val="36"/>
          <w:vertAlign w:val="subscript"/>
        </w:rPr>
      </w:pPr>
    </w:p>
    <w:p w:rsidR="006E6C39" w:rsidRPr="006E6C39" w:rsidP="009F21D6" w14:paraId="4ED01B03" w14:textId="77777777">
      <w:pPr>
        <w:tabs>
          <w:tab w:val="left" w:pos="426"/>
          <w:tab w:val="left" w:pos="709"/>
        </w:tabs>
        <w:ind w:left="426"/>
        <w:jc w:val="both"/>
        <w:rPr>
          <w:rFonts w:ascii="Arial" w:hAnsi="Arial" w:cs="Arial"/>
          <w:sz w:val="36"/>
          <w:szCs w:val="36"/>
          <w:vertAlign w:val="subscript"/>
        </w:rPr>
      </w:pPr>
    </w:p>
    <w:p w:rsidR="006E6C39" w:rsidRPr="006E6C39" w:rsidP="009F21D6" w14:paraId="20A92DC4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6E6C39">
        <w:rPr>
          <w:rFonts w:ascii="Arial" w:hAnsi="Arial" w:cs="Arial"/>
          <w:b/>
          <w:sz w:val="28"/>
          <w:szCs w:val="28"/>
        </w:rPr>
        <w:t>PAULINHO BOLA</w:t>
      </w:r>
    </w:p>
    <w:p w:rsidR="006E6C39" w:rsidRPr="006E6C39" w:rsidP="009F21D6" w14:paraId="154D6C5B" w14:textId="77777777">
      <w:pPr>
        <w:jc w:val="center"/>
        <w:rPr>
          <w:rFonts w:ascii="Arial" w:hAnsi="Arial" w:cs="Arial"/>
          <w:sz w:val="28"/>
          <w:szCs w:val="28"/>
        </w:rPr>
      </w:pPr>
      <w:r w:rsidRPr="006E6C39">
        <w:rPr>
          <w:rFonts w:ascii="Arial" w:hAnsi="Arial" w:cs="Arial"/>
          <w:sz w:val="28"/>
          <w:szCs w:val="28"/>
        </w:rPr>
        <w:t>Vereador</w:t>
      </w:r>
    </w:p>
    <w:p w:rsidR="006E6C39" w:rsidP="009F21D6" w14:paraId="5642A2B8" w14:textId="77777777">
      <w:pPr>
        <w:tabs>
          <w:tab w:val="left" w:pos="795"/>
        </w:tabs>
        <w:jc w:val="both"/>
        <w:rPr>
          <w:rFonts w:cstheme="minorHAnsi"/>
          <w:sz w:val="36"/>
          <w:szCs w:val="36"/>
          <w:vertAlign w:val="subscript"/>
        </w:rPr>
      </w:pPr>
    </w:p>
    <w:p w:rsidR="006E6C39" w:rsidRPr="006E6C39" w:rsidP="009F21D6" w14:paraId="55694782" w14:textId="77777777">
      <w:pPr>
        <w:tabs>
          <w:tab w:val="left" w:pos="795"/>
        </w:tabs>
        <w:jc w:val="both"/>
        <w:rPr>
          <w:rFonts w:cstheme="minorHAnsi"/>
          <w:sz w:val="36"/>
          <w:szCs w:val="36"/>
          <w:vertAlign w:val="subscript"/>
        </w:rPr>
      </w:pPr>
    </w:p>
    <w:p w:rsidR="006E6C39" w:rsidP="009F21D6" w14:paraId="42E917D3" w14:textId="77777777">
      <w:pPr>
        <w:tabs>
          <w:tab w:val="left" w:pos="795"/>
        </w:tabs>
        <w:jc w:val="both"/>
        <w:rPr>
          <w:rFonts w:ascii="Arial" w:hAnsi="Arial" w:cs="Arial"/>
          <w:b/>
          <w:bCs/>
          <w:sz w:val="40"/>
          <w:szCs w:val="40"/>
          <w:vertAlign w:val="subscript"/>
        </w:rPr>
      </w:pPr>
      <w:r>
        <w:rPr>
          <w:rFonts w:ascii="Arial" w:hAnsi="Arial" w:cs="Arial"/>
          <w:b/>
          <w:bCs/>
          <w:sz w:val="40"/>
          <w:szCs w:val="40"/>
          <w:vertAlign w:val="subscript"/>
        </w:rPr>
        <w:t xml:space="preserve">   </w:t>
      </w:r>
    </w:p>
    <w:p w:rsidR="006E6C39" w:rsidP="009F21D6" w14:paraId="0343CC14" w14:textId="77777777">
      <w:pPr>
        <w:tabs>
          <w:tab w:val="left" w:pos="795"/>
        </w:tabs>
        <w:jc w:val="both"/>
        <w:rPr>
          <w:rFonts w:ascii="Arial" w:hAnsi="Arial" w:cs="Arial"/>
          <w:b/>
          <w:bCs/>
          <w:sz w:val="40"/>
          <w:szCs w:val="40"/>
          <w:vertAlign w:val="subscript"/>
        </w:rPr>
      </w:pPr>
    </w:p>
    <w:p w:rsidR="00F065C3" w:rsidRPr="006E6C39" w:rsidP="009F21D6" w14:paraId="5AF8C73F" w14:textId="77777777">
      <w:pPr>
        <w:tabs>
          <w:tab w:val="left" w:pos="795"/>
        </w:tabs>
        <w:jc w:val="both"/>
        <w:rPr>
          <w:rFonts w:ascii="Arial" w:hAnsi="Arial" w:cs="Arial"/>
          <w:b/>
          <w:bCs/>
          <w:sz w:val="40"/>
          <w:szCs w:val="40"/>
          <w:vertAlign w:val="subscript"/>
        </w:rPr>
      </w:pPr>
      <w:r>
        <w:rPr>
          <w:rFonts w:ascii="Arial" w:hAnsi="Arial" w:cs="Arial"/>
          <w:b/>
          <w:bCs/>
          <w:sz w:val="40"/>
          <w:szCs w:val="40"/>
          <w:vertAlign w:val="subscript"/>
        </w:rPr>
        <w:t xml:space="preserve"> </w:t>
      </w:r>
      <w:r w:rsidRPr="006E6C39">
        <w:rPr>
          <w:rFonts w:ascii="Arial" w:hAnsi="Arial" w:cs="Arial"/>
          <w:b/>
          <w:bCs/>
          <w:sz w:val="40"/>
          <w:szCs w:val="40"/>
          <w:vertAlign w:val="subscript"/>
        </w:rPr>
        <w:t xml:space="preserve"> </w:t>
      </w:r>
      <w:r w:rsidRPr="006E6C39">
        <w:rPr>
          <w:rFonts w:ascii="Arial" w:hAnsi="Arial" w:cs="Arial"/>
          <w:b/>
          <w:bCs/>
          <w:sz w:val="36"/>
          <w:szCs w:val="36"/>
          <w:vertAlign w:val="subscript"/>
        </w:rPr>
        <w:t>Justificativa</w:t>
      </w:r>
      <w:r w:rsidRPr="006E6C39">
        <w:rPr>
          <w:rFonts w:ascii="Arial" w:hAnsi="Arial" w:cs="Arial"/>
          <w:b/>
          <w:bCs/>
          <w:sz w:val="40"/>
          <w:szCs w:val="40"/>
          <w:vertAlign w:val="subscript"/>
        </w:rPr>
        <w:t>:</w:t>
      </w:r>
    </w:p>
    <w:p w:rsidR="00F065C3" w:rsidRPr="006E6C39" w:rsidP="009F21D6" w14:paraId="1500ADA2" w14:textId="77777777">
      <w:pPr>
        <w:tabs>
          <w:tab w:val="left" w:pos="795"/>
        </w:tabs>
        <w:jc w:val="both"/>
        <w:rPr>
          <w:rFonts w:ascii="Arial" w:hAnsi="Arial" w:cs="Arial"/>
          <w:sz w:val="36"/>
          <w:szCs w:val="36"/>
          <w:vertAlign w:val="subscript"/>
        </w:rPr>
      </w:pPr>
    </w:p>
    <w:p w:rsidR="003E3E67" w:rsidRPr="006E6C39" w:rsidP="009F21D6" w14:paraId="5611DFFD" w14:textId="77777777">
      <w:pPr>
        <w:tabs>
          <w:tab w:val="left" w:pos="795"/>
        </w:tabs>
        <w:ind w:left="426"/>
        <w:jc w:val="both"/>
        <w:rPr>
          <w:rFonts w:ascii="Arial" w:hAnsi="Arial" w:cs="Arial"/>
          <w:sz w:val="36"/>
          <w:szCs w:val="36"/>
          <w:vertAlign w:val="subscript"/>
        </w:rPr>
      </w:pPr>
      <w:r w:rsidRPr="006E6C39">
        <w:rPr>
          <w:rFonts w:ascii="Arial" w:hAnsi="Arial" w:cs="Arial"/>
          <w:sz w:val="36"/>
          <w:szCs w:val="36"/>
          <w:vertAlign w:val="subscript"/>
        </w:rPr>
        <w:t>Muitos pacientes e seus acompanhantes enfrentam longos períodos fora de casa sem acesso regular à alimentação, o que pode impactar negativamente sua saúde durante o tratamento. Entendemos que a proposta está alinhada aos princípios constitucionais da dignidade da pessoa humana, do direito à saúde e da assistência social, além das diretrizes do Sistema Único de Saúde (SUS), como a integralidade e a humanização do atendimento.</w:t>
      </w:r>
      <w:r w:rsidRPr="006E6C39">
        <w:rPr>
          <w:rFonts w:cstheme="minorHAnsi"/>
          <w:sz w:val="36"/>
          <w:szCs w:val="36"/>
          <w:vertAlign w:val="subscript"/>
        </w:rPr>
        <w:t xml:space="preserve"> </w:t>
      </w:r>
      <w:r w:rsidRPr="006E6C39">
        <w:rPr>
          <w:rFonts w:ascii="Arial" w:hAnsi="Arial" w:cs="Arial"/>
          <w:sz w:val="36"/>
          <w:szCs w:val="36"/>
          <w:vertAlign w:val="subscript"/>
        </w:rPr>
        <w:t>Trata-se de uma iniciativa de caráter social que amplia o cuidado com pacientes em situação de vulnerabilidade, sem gerar impacto financeiro significativo aos cofres públicos.</w:t>
      </w:r>
    </w:p>
    <w:p w:rsidR="006E6C39" w:rsidRPr="006E6C39" w:rsidP="009F21D6" w14:paraId="06CAD956" w14:textId="77777777">
      <w:pPr>
        <w:jc w:val="both"/>
        <w:rPr>
          <w:rFonts w:cstheme="minorHAnsi"/>
          <w:b/>
          <w:bCs/>
          <w:sz w:val="32"/>
          <w:szCs w:val="32"/>
        </w:rPr>
      </w:pPr>
      <w:r w:rsidRPr="006E6C39">
        <w:rPr>
          <w:rFonts w:cstheme="minorHAnsi"/>
          <w:sz w:val="36"/>
          <w:szCs w:val="36"/>
          <w:vertAlign w:val="subscript"/>
        </w:rPr>
        <w:t xml:space="preserve"> </w:t>
      </w:r>
      <w:r w:rsidRPr="006E6C39">
        <w:rPr>
          <w:rFonts w:cstheme="minorHAnsi"/>
          <w:b/>
          <w:bCs/>
          <w:sz w:val="32"/>
          <w:szCs w:val="32"/>
        </w:rPr>
        <w:t xml:space="preserve">                                                                         </w:t>
      </w:r>
    </w:p>
    <w:p w:rsidR="003E3E67" w:rsidRPr="006E6C39" w:rsidP="009F21D6" w14:paraId="2F00655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6E6C39">
        <w:rPr>
          <w:rFonts w:ascii="Arial" w:hAnsi="Arial" w:cs="Arial"/>
          <w:b/>
          <w:sz w:val="28"/>
          <w:szCs w:val="28"/>
        </w:rPr>
        <w:t>PAULINHO BOLA</w:t>
      </w:r>
    </w:p>
    <w:p w:rsidR="003E3E67" w:rsidRPr="006E6C39" w:rsidP="009F21D6" w14:paraId="3D3CEE82" w14:textId="77777777">
      <w:pPr>
        <w:jc w:val="center"/>
        <w:rPr>
          <w:rFonts w:ascii="Arial" w:hAnsi="Arial" w:cs="Arial"/>
          <w:sz w:val="28"/>
          <w:szCs w:val="28"/>
        </w:rPr>
      </w:pPr>
      <w:r w:rsidRPr="006E6C39">
        <w:rPr>
          <w:rFonts w:ascii="Arial" w:hAnsi="Arial" w:cs="Arial"/>
          <w:sz w:val="28"/>
          <w:szCs w:val="28"/>
        </w:rPr>
        <w:t>Vereador</w:t>
      </w:r>
    </w:p>
    <w:p w:rsidR="003E3E67" w:rsidRPr="006E6C39" w:rsidP="009F21D6" w14:paraId="6596CFA2" w14:textId="77777777">
      <w:pPr>
        <w:tabs>
          <w:tab w:val="left" w:pos="795"/>
        </w:tabs>
        <w:jc w:val="both"/>
        <w:rPr>
          <w:rFonts w:cstheme="minorHAnsi"/>
          <w:sz w:val="36"/>
          <w:szCs w:val="36"/>
          <w:vertAlign w:val="subscript"/>
        </w:rPr>
      </w:pPr>
    </w:p>
    <w:p w:rsidR="003E3E67" w:rsidRPr="006E6C39" w:rsidP="009F21D6" w14:paraId="65A874F5" w14:textId="77777777">
      <w:pPr>
        <w:jc w:val="both"/>
        <w:rPr>
          <w:rFonts w:cstheme="minorHAnsi"/>
          <w:sz w:val="28"/>
          <w:szCs w:val="32"/>
        </w:rPr>
      </w:pPr>
    </w:p>
    <w:p w:rsidR="003E3E67" w:rsidRPr="006E6C39" w:rsidP="009F21D6" w14:paraId="0A9BC58E" w14:textId="77777777">
      <w:pPr>
        <w:jc w:val="both"/>
        <w:rPr>
          <w:rFonts w:cstheme="minorHAnsi"/>
          <w:sz w:val="28"/>
          <w:szCs w:val="32"/>
        </w:rPr>
      </w:pPr>
    </w:p>
    <w:p w:rsidR="003E3E67" w:rsidRPr="006E6C39" w:rsidP="009F21D6" w14:paraId="14F6974E" w14:textId="77777777">
      <w:pPr>
        <w:jc w:val="both"/>
        <w:rPr>
          <w:rFonts w:cstheme="minorHAnsi"/>
          <w:sz w:val="28"/>
          <w:szCs w:val="32"/>
        </w:rPr>
      </w:pPr>
    </w:p>
    <w:p w:rsidR="003E3E67" w:rsidRPr="006E6C39" w:rsidP="009F21D6" w14:paraId="53174016" w14:textId="77777777">
      <w:pPr>
        <w:jc w:val="both"/>
        <w:rPr>
          <w:rFonts w:cstheme="minorHAnsi"/>
          <w:sz w:val="28"/>
          <w:szCs w:val="32"/>
        </w:rPr>
      </w:pPr>
    </w:p>
    <w:p w:rsidR="003E3E67" w:rsidRPr="006E6C39" w:rsidP="009F21D6" w14:paraId="3E026109" w14:textId="77777777">
      <w:pPr>
        <w:jc w:val="both"/>
        <w:rPr>
          <w:rFonts w:cstheme="minorHAnsi"/>
          <w:sz w:val="28"/>
          <w:szCs w:val="32"/>
        </w:rPr>
      </w:pPr>
    </w:p>
    <w:p w:rsidR="002345BF" w:rsidRPr="006E6C39" w:rsidP="009F21D6" w14:paraId="7C517653" w14:textId="77777777">
      <w:pPr>
        <w:jc w:val="both"/>
        <w:rPr>
          <w:rFonts w:cstheme="minorHAnsi"/>
          <w:sz w:val="28"/>
          <w:szCs w:val="32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0E943AA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79C055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B0041CC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15212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63E904D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D36C3"/>
    <w:rsid w:val="001945C7"/>
    <w:rsid w:val="001C38E8"/>
    <w:rsid w:val="001F7E0D"/>
    <w:rsid w:val="00231B4F"/>
    <w:rsid w:val="002345BF"/>
    <w:rsid w:val="00273D17"/>
    <w:rsid w:val="003C6DBA"/>
    <w:rsid w:val="003E3E67"/>
    <w:rsid w:val="004041C5"/>
    <w:rsid w:val="004550B7"/>
    <w:rsid w:val="004C3076"/>
    <w:rsid w:val="004E341A"/>
    <w:rsid w:val="005105DA"/>
    <w:rsid w:val="0051671B"/>
    <w:rsid w:val="00525EF3"/>
    <w:rsid w:val="00591627"/>
    <w:rsid w:val="005C1691"/>
    <w:rsid w:val="005F7ED5"/>
    <w:rsid w:val="00600BFF"/>
    <w:rsid w:val="00615A83"/>
    <w:rsid w:val="00632121"/>
    <w:rsid w:val="006C7023"/>
    <w:rsid w:val="006E6C39"/>
    <w:rsid w:val="006F4487"/>
    <w:rsid w:val="0070355C"/>
    <w:rsid w:val="0071654F"/>
    <w:rsid w:val="007C5A08"/>
    <w:rsid w:val="00801E5A"/>
    <w:rsid w:val="00806E5A"/>
    <w:rsid w:val="008D22A7"/>
    <w:rsid w:val="009C4248"/>
    <w:rsid w:val="009F21D6"/>
    <w:rsid w:val="00A65C31"/>
    <w:rsid w:val="00A9560F"/>
    <w:rsid w:val="00B258F0"/>
    <w:rsid w:val="00C25CA0"/>
    <w:rsid w:val="00C810BA"/>
    <w:rsid w:val="00CE3710"/>
    <w:rsid w:val="00D02402"/>
    <w:rsid w:val="00D107F4"/>
    <w:rsid w:val="00D300EF"/>
    <w:rsid w:val="00D66C60"/>
    <w:rsid w:val="00D920D6"/>
    <w:rsid w:val="00DB5EE5"/>
    <w:rsid w:val="00DC4A79"/>
    <w:rsid w:val="00DE0C27"/>
    <w:rsid w:val="00E57B9E"/>
    <w:rsid w:val="00EA5120"/>
    <w:rsid w:val="00EE42E4"/>
    <w:rsid w:val="00EE77FA"/>
    <w:rsid w:val="00F01A36"/>
    <w:rsid w:val="00F065C3"/>
    <w:rsid w:val="00F17484"/>
    <w:rsid w:val="00F42713"/>
    <w:rsid w:val="00F8639F"/>
    <w:rsid w:val="00FB07C4"/>
    <w:rsid w:val="00FC5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E34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B258F0"/>
    <w:pPr>
      <w:keepNext/>
      <w:ind w:left="851" w:hanging="851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character" w:customStyle="1" w:styleId="Ttulo5Char">
    <w:name w:val="Título 5 Char"/>
    <w:basedOn w:val="DefaultParagraphFont"/>
    <w:link w:val="Heading5"/>
    <w:semiHidden/>
    <w:rsid w:val="00B258F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E34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4</cp:revision>
  <cp:lastPrinted>2020-02-20T18:39:00Z</cp:lastPrinted>
  <dcterms:created xsi:type="dcterms:W3CDTF">2026-04-09T16:15:00Z</dcterms:created>
  <dcterms:modified xsi:type="dcterms:W3CDTF">2026-04-10T13:52:00Z</dcterms:modified>
</cp:coreProperties>
</file>